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878FB" w:rsidRPr="00DA2F29" w14:paraId="05852D7B" w14:textId="77777777" w:rsidTr="009E3530">
        <w:tc>
          <w:tcPr>
            <w:tcW w:w="10065" w:type="dxa"/>
          </w:tcPr>
          <w:p w14:paraId="36F23918" w14:textId="77777777" w:rsidR="00D878FB" w:rsidRPr="00DA2F29" w:rsidRDefault="00D878FB" w:rsidP="009E3530">
            <w:pPr>
              <w:pStyle w:val="Balk1"/>
              <w:spacing w:line="360" w:lineRule="auto"/>
              <w:ind w:left="218"/>
              <w:rPr>
                <w:b w:val="0"/>
                <w:bCs w:val="0"/>
              </w:rPr>
            </w:pPr>
            <w:r w:rsidRPr="00DA2F29">
              <w:t>GÖREV TANIMI</w:t>
            </w:r>
          </w:p>
        </w:tc>
      </w:tr>
      <w:tr w:rsidR="00D878FB" w:rsidRPr="00DA2F29" w14:paraId="4C187969" w14:textId="77777777" w:rsidTr="009E3530">
        <w:tc>
          <w:tcPr>
            <w:tcW w:w="10065" w:type="dxa"/>
          </w:tcPr>
          <w:p w14:paraId="612E8067" w14:textId="77777777" w:rsidR="008B581A" w:rsidRPr="00DA2F29" w:rsidRDefault="00D878FB" w:rsidP="00DA2F29">
            <w:pPr>
              <w:spacing w:line="360" w:lineRule="auto"/>
              <w:jc w:val="both"/>
            </w:pPr>
            <w:r w:rsidRPr="00DA2F29">
              <w:rPr>
                <w:b/>
                <w:bCs/>
              </w:rPr>
              <w:t xml:space="preserve">Birim Adı: </w:t>
            </w:r>
            <w:r w:rsidR="008B581A" w:rsidRPr="00DA2F29">
              <w:t>Kütahya Sağlık Bilimleri Üniversitesi Sağlık Bilimleri Fakültesi</w:t>
            </w:r>
          </w:p>
          <w:p w14:paraId="5000DC83" w14:textId="77777777" w:rsidR="00D878FB" w:rsidRPr="00DA2F29" w:rsidRDefault="008B581A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t xml:space="preserve">                   </w:t>
            </w:r>
            <w:r w:rsidR="00DA2F29" w:rsidRPr="00DA2F29">
              <w:t>……………………</w:t>
            </w:r>
            <w:r w:rsidRPr="00DA2F29">
              <w:t xml:space="preserve"> Bölümü</w:t>
            </w:r>
          </w:p>
        </w:tc>
      </w:tr>
      <w:tr w:rsidR="00D878FB" w:rsidRPr="00DA2F29" w14:paraId="4C6F3E00" w14:textId="77777777" w:rsidTr="009E3530">
        <w:tc>
          <w:tcPr>
            <w:tcW w:w="10065" w:type="dxa"/>
          </w:tcPr>
          <w:p w14:paraId="61F69998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 xml:space="preserve">İşin Adı:  </w:t>
            </w:r>
            <w:r w:rsidRPr="00DA2F29">
              <w:rPr>
                <w:bCs/>
              </w:rPr>
              <w:t>Öğretim Üyesi</w:t>
            </w:r>
          </w:p>
        </w:tc>
      </w:tr>
      <w:tr w:rsidR="00D878FB" w:rsidRPr="00DA2F29" w14:paraId="3D67EA10" w14:textId="77777777" w:rsidTr="009E3530">
        <w:tc>
          <w:tcPr>
            <w:tcW w:w="10065" w:type="dxa"/>
          </w:tcPr>
          <w:p w14:paraId="62AA6169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 xml:space="preserve">Bağlı Olduğu Birim: </w:t>
            </w:r>
            <w:r w:rsidRPr="00DA2F29">
              <w:t>İlgili Anabilim Dalı Başkanı</w:t>
            </w:r>
          </w:p>
        </w:tc>
      </w:tr>
      <w:tr w:rsidR="00D878FB" w:rsidRPr="00DA2F29" w14:paraId="35D8A70F" w14:textId="77777777" w:rsidTr="009E3530">
        <w:tc>
          <w:tcPr>
            <w:tcW w:w="10065" w:type="dxa"/>
          </w:tcPr>
          <w:p w14:paraId="568B3763" w14:textId="77777777" w:rsidR="00D21C4A" w:rsidRPr="00DA2F29" w:rsidRDefault="00D878FB" w:rsidP="00DA2F29">
            <w:pPr>
              <w:spacing w:line="360" w:lineRule="auto"/>
              <w:jc w:val="both"/>
            </w:pPr>
            <w:r w:rsidRPr="00DA2F29">
              <w:rPr>
                <w:b/>
                <w:bCs/>
              </w:rPr>
              <w:t>İşin Özeti:</w:t>
            </w:r>
            <w:r w:rsidRPr="00DA2F29">
              <w:t xml:space="preserve"> Yükseköğretim Kurumları’nda ve kanunda</w:t>
            </w:r>
            <w:r w:rsidR="001555B2" w:rsidRPr="00DA2F29">
              <w:t xml:space="preserve"> belirtilen</w:t>
            </w:r>
            <w:r w:rsidRPr="00DA2F29">
              <w:t xml:space="preserve"> amaç ve ilkelere </w:t>
            </w:r>
            <w:r w:rsidR="000B5009" w:rsidRPr="00DA2F29">
              <w:t>uygun lisans</w:t>
            </w:r>
            <w:r w:rsidRPr="00DA2F29">
              <w:t xml:space="preserve"> ve lisansüstü düzeylerde eğitim, öğretim ve uygulamalı çalışmaların</w:t>
            </w:r>
            <w:r w:rsidR="00483073" w:rsidRPr="00DA2F29">
              <w:t>,</w:t>
            </w:r>
            <w:r w:rsidRPr="00DA2F29">
              <w:t xml:space="preserve"> </w:t>
            </w:r>
            <w:r w:rsidR="00483073" w:rsidRPr="00DA2F29">
              <w:t xml:space="preserve"> hastane ve hastane dışı uygulamaların uygun yer ve zamanda yürütülmesinden,  </w:t>
            </w:r>
            <w:r w:rsidR="00D21C4A" w:rsidRPr="00DA2F29">
              <w:t xml:space="preserve">ulusal ve uluslararası bilimsel </w:t>
            </w:r>
            <w:r w:rsidR="00483073" w:rsidRPr="00DA2F29">
              <w:t xml:space="preserve">gelişmeleri takip ederek </w:t>
            </w:r>
            <w:r w:rsidR="00D21C4A" w:rsidRPr="00DA2F29">
              <w:t>mesleki bilgi ve becerilerin güncellenmesinden sorumludur.</w:t>
            </w:r>
          </w:p>
        </w:tc>
      </w:tr>
      <w:tr w:rsidR="00D878FB" w:rsidRPr="00DA2F29" w14:paraId="6502C1FE" w14:textId="77777777" w:rsidTr="009E3530">
        <w:tc>
          <w:tcPr>
            <w:tcW w:w="10065" w:type="dxa"/>
          </w:tcPr>
          <w:p w14:paraId="538DB8F9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Görevler ve Sorumluluklar:</w:t>
            </w:r>
          </w:p>
          <w:p w14:paraId="7EFE1014" w14:textId="77777777" w:rsidR="00D878FB" w:rsidRPr="00DA2F29" w:rsidRDefault="001555B2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A2F29">
              <w:t>P</w:t>
            </w:r>
            <w:r w:rsidR="00D878FB" w:rsidRPr="00DA2F29">
              <w:t xml:space="preserve">rofesyonel </w:t>
            </w:r>
            <w:r w:rsidR="00DA2F29">
              <w:t>sağlık çalışanları</w:t>
            </w:r>
            <w:r w:rsidR="00D878FB" w:rsidRPr="00DA2F29">
              <w:t xml:space="preserve"> yetiştirmeye yönelik lisans,</w:t>
            </w:r>
            <w:r w:rsidR="004D12E0" w:rsidRPr="00DA2F29">
              <w:t xml:space="preserve"> lisansüstü eğitim programları</w:t>
            </w:r>
            <w:r w:rsidR="00D21C4A" w:rsidRPr="00DA2F29">
              <w:t xml:space="preserve"> ve</w:t>
            </w:r>
            <w:r w:rsidR="00D878FB" w:rsidRPr="00DA2F29">
              <w:t xml:space="preserve"> mezuniyet </w:t>
            </w:r>
            <w:r w:rsidR="004E6D29" w:rsidRPr="00DA2F29">
              <w:t>sonrası eğitim</w:t>
            </w:r>
            <w:r w:rsidR="00D878FB" w:rsidRPr="00DA2F29">
              <w:t xml:space="preserve"> faaliyetlerinin yürütülmesinden sorumludur. </w:t>
            </w:r>
          </w:p>
          <w:p w14:paraId="73BBD77C" w14:textId="77777777" w:rsidR="00AB48A2" w:rsidRPr="004906DC" w:rsidRDefault="00D21C4A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A2F29">
              <w:t>L</w:t>
            </w:r>
            <w:r w:rsidR="00AB48A2" w:rsidRPr="00DA2F29">
              <w:t xml:space="preserve">isans </w:t>
            </w:r>
            <w:bookmarkStart w:id="0" w:name="_GoBack"/>
            <w:r w:rsidR="00AB48A2" w:rsidRPr="004906DC">
              <w:t xml:space="preserve">eğitim programının öğretim ve sınav yönergesine uygun şekilde yürütülmesinden sorumludur. </w:t>
            </w:r>
          </w:p>
          <w:p w14:paraId="08469295" w14:textId="77777777" w:rsidR="004369CF" w:rsidRPr="004906DC" w:rsidRDefault="004369CF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Ders</w:t>
            </w:r>
            <w:r w:rsidR="00D21C4A" w:rsidRPr="004906DC">
              <w:t>ler</w:t>
            </w:r>
            <w:r w:rsidRPr="004906DC">
              <w:t xml:space="preserve"> ile ilgili faaliyetleri açıklayan </w:t>
            </w:r>
            <w:r w:rsidR="000B5009" w:rsidRPr="004906DC">
              <w:t>program ve</w:t>
            </w:r>
            <w:r w:rsidR="00AB48A2" w:rsidRPr="004906DC">
              <w:t xml:space="preserve"> yıllık</w:t>
            </w:r>
            <w:r w:rsidRPr="004906DC">
              <w:t xml:space="preserve"> çalışma takvimini oluşturur. </w:t>
            </w:r>
          </w:p>
          <w:p w14:paraId="16720C36" w14:textId="77777777" w:rsidR="00D878FB" w:rsidRPr="004906DC" w:rsidRDefault="001555B2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A</w:t>
            </w:r>
            <w:r w:rsidR="000B5009" w:rsidRPr="004906DC">
              <w:t xml:space="preserve">nabilim </w:t>
            </w:r>
            <w:r w:rsidRPr="004906DC">
              <w:t>D</w:t>
            </w:r>
            <w:r w:rsidR="000B5009" w:rsidRPr="004906DC">
              <w:t>alın</w:t>
            </w:r>
            <w:r w:rsidRPr="004906DC">
              <w:t xml:space="preserve">’ da görevli akademik personel ve </w:t>
            </w:r>
            <w:r w:rsidR="00995E06" w:rsidRPr="004906DC">
              <w:t>öğrenciler öncelikli</w:t>
            </w:r>
            <w:r w:rsidR="00D878FB" w:rsidRPr="004906DC">
              <w:t xml:space="preserve"> olmak üzere danışmanlık ve rehberlik </w:t>
            </w:r>
            <w:r w:rsidRPr="004906DC">
              <w:t>yapar.</w:t>
            </w:r>
            <w:r w:rsidR="00D878FB" w:rsidRPr="004906DC">
              <w:t xml:space="preserve"> (Tez ve proje danışmanlığı.......). </w:t>
            </w:r>
          </w:p>
          <w:p w14:paraId="304B424B" w14:textId="77777777" w:rsidR="00D878FB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Mesleki seminer, kongre, projelerin planlanmasını ve yürütülmesini sağlar.</w:t>
            </w:r>
          </w:p>
          <w:p w14:paraId="523B0672" w14:textId="77777777" w:rsidR="00D878FB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 xml:space="preserve">Lisans eğitiminde görev aldığı </w:t>
            </w:r>
            <w:r w:rsidR="001555B2" w:rsidRPr="004906DC">
              <w:t>derslerle ilgili</w:t>
            </w:r>
            <w:r w:rsidRPr="004906DC">
              <w:t xml:space="preserve"> sorumlulukları (</w:t>
            </w:r>
            <w:r w:rsidR="001555B2" w:rsidRPr="004906DC">
              <w:t>ders içeriklerinin</w:t>
            </w:r>
            <w:r w:rsidRPr="004906DC">
              <w:t xml:space="preserve">, sınav sorularının eksiksiz ve zamanında teslim edilmesi, ilgili olduğu toplantıları düzenleme ve katılma,  vb...) yerine getirir. </w:t>
            </w:r>
          </w:p>
          <w:p w14:paraId="3D731D07" w14:textId="77777777" w:rsidR="00D878FB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Mesleki gelişime katkıda bulunmak üzere etkinlikler</w:t>
            </w:r>
            <w:r w:rsidR="001555B2" w:rsidRPr="004906DC">
              <w:t>e</w:t>
            </w:r>
            <w:r w:rsidRPr="004906DC">
              <w:t xml:space="preserve"> </w:t>
            </w:r>
            <w:r w:rsidR="001555B2" w:rsidRPr="004906DC">
              <w:t>katılır</w:t>
            </w:r>
            <w:r w:rsidR="000B5009" w:rsidRPr="004906DC">
              <w:t xml:space="preserve"> ve</w:t>
            </w:r>
            <w:r w:rsidR="001555B2" w:rsidRPr="004906DC">
              <w:t xml:space="preserve"> düzenler.</w:t>
            </w:r>
            <w:r w:rsidRPr="004906DC">
              <w:t xml:space="preserve"> </w:t>
            </w:r>
          </w:p>
          <w:p w14:paraId="042D78AD" w14:textId="77777777" w:rsidR="0002179A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Mesleki gelişimleri izler, ulusal/</w:t>
            </w:r>
            <w:r w:rsidR="001555B2" w:rsidRPr="004906DC">
              <w:t>uluslararası</w:t>
            </w:r>
            <w:r w:rsidRPr="004906DC">
              <w:t xml:space="preserve"> mesleki kuruluşlarla </w:t>
            </w:r>
            <w:r w:rsidR="0002179A" w:rsidRPr="004906DC">
              <w:t>iş</w:t>
            </w:r>
            <w:r w:rsidR="00DB4AD1" w:rsidRPr="004906DC">
              <w:t xml:space="preserve"> </w:t>
            </w:r>
            <w:r w:rsidR="0002179A" w:rsidRPr="004906DC">
              <w:t>birliği yap</w:t>
            </w:r>
            <w:r w:rsidR="00DB4AD1" w:rsidRPr="004906DC">
              <w:t>arak</w:t>
            </w:r>
            <w:r w:rsidR="0002179A" w:rsidRPr="004906DC">
              <w:t xml:space="preserve"> çağdaş gelişmeleri takip eder.</w:t>
            </w:r>
          </w:p>
          <w:p w14:paraId="5F7B443C" w14:textId="77777777" w:rsidR="00D878FB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 xml:space="preserve">Öğretim </w:t>
            </w:r>
            <w:r w:rsidR="00D21C4A" w:rsidRPr="004906DC">
              <w:t>elemanlarının gelişimleri</w:t>
            </w:r>
            <w:r w:rsidRPr="004906DC">
              <w:t xml:space="preserve"> için öğretim planları yapar, uygular ve denetler. </w:t>
            </w:r>
          </w:p>
          <w:p w14:paraId="16F5A544" w14:textId="77777777" w:rsidR="00D878FB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 xml:space="preserve">Kurumun bilimsel ve sosyal gelişimi için kurulan komisyonlarda görev alır. </w:t>
            </w:r>
          </w:p>
          <w:p w14:paraId="68D1D1A8" w14:textId="77777777" w:rsidR="00D878FB" w:rsidRPr="004906DC" w:rsidRDefault="00E63AA8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 xml:space="preserve">Kitap ve </w:t>
            </w:r>
            <w:r w:rsidR="001555B2" w:rsidRPr="004906DC">
              <w:t>dergilerde editörlük</w:t>
            </w:r>
            <w:r w:rsidR="00D878FB" w:rsidRPr="004906DC">
              <w:t xml:space="preserve">, hakem kurulu üyeliği </w:t>
            </w:r>
            <w:r w:rsidR="004E76D6" w:rsidRPr="004906DC">
              <w:t>gibi sorumlulukları üstlenir.</w:t>
            </w:r>
            <w:r w:rsidR="00D878FB" w:rsidRPr="004906DC">
              <w:t xml:space="preserve"> </w:t>
            </w:r>
          </w:p>
          <w:p w14:paraId="5464FD76" w14:textId="5819FAC7" w:rsidR="00995E06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 xml:space="preserve">Kuruma ait yönetsel faaliyetlerin </w:t>
            </w:r>
            <w:r w:rsidR="00995E06" w:rsidRPr="004906DC">
              <w:t>düzenlenmesinde sorumluluklar alır</w:t>
            </w:r>
            <w:r w:rsidR="00792329" w:rsidRPr="004906DC">
              <w:t>.</w:t>
            </w:r>
            <w:r w:rsidR="00995E06" w:rsidRPr="004906DC">
              <w:t xml:space="preserve"> </w:t>
            </w:r>
            <w:r w:rsidRPr="004906DC">
              <w:t xml:space="preserve"> </w:t>
            </w:r>
          </w:p>
          <w:p w14:paraId="415C7321" w14:textId="77777777" w:rsidR="00D878FB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Kurum misyonunu</w:t>
            </w:r>
            <w:r w:rsidR="00995E06" w:rsidRPr="004906DC">
              <w:t>n</w:t>
            </w:r>
            <w:r w:rsidRPr="004906DC">
              <w:t xml:space="preserve"> sürdür</w:t>
            </w:r>
            <w:r w:rsidR="001555B2" w:rsidRPr="004906DC">
              <w:t>ülmesi</w:t>
            </w:r>
            <w:r w:rsidRPr="004906DC">
              <w:t xml:space="preserve"> ve vizyonun</w:t>
            </w:r>
            <w:r w:rsidR="00995E06" w:rsidRPr="004906DC">
              <w:t>un</w:t>
            </w:r>
            <w:r w:rsidRPr="004906DC">
              <w:t xml:space="preserve"> </w:t>
            </w:r>
            <w:r w:rsidR="00995E06" w:rsidRPr="004906DC">
              <w:t>gelişiminde aktif rol alır.</w:t>
            </w:r>
            <w:r w:rsidRPr="004906DC">
              <w:t xml:space="preserve"> </w:t>
            </w:r>
          </w:p>
          <w:p w14:paraId="12B99BF9" w14:textId="77777777" w:rsidR="004E6D29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Öğretim üye ve elemanlarının özlük haklarının korunması ve geliştirmesi</w:t>
            </w:r>
            <w:r w:rsidR="004F6547" w:rsidRPr="004906DC">
              <w:t xml:space="preserve"> için</w:t>
            </w:r>
            <w:r w:rsidRPr="004906DC">
              <w:t xml:space="preserve"> mesleki </w:t>
            </w:r>
            <w:r w:rsidR="00995E06" w:rsidRPr="004906DC">
              <w:t>örgütler</w:t>
            </w:r>
            <w:r w:rsidR="004F6547" w:rsidRPr="004906DC">
              <w:t>e destek verir, güç birliği oluşturur</w:t>
            </w:r>
          </w:p>
          <w:p w14:paraId="75A150E8" w14:textId="77777777" w:rsidR="004F6547" w:rsidRPr="004906DC" w:rsidRDefault="004F6547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 w:rsidRPr="004906DC">
              <w:t>Erasmus</w:t>
            </w:r>
            <w:proofErr w:type="spellEnd"/>
            <w:r w:rsidRPr="004906DC">
              <w:t>, Farabi ve Mevlana değişim programları ile ilgili çalışır.</w:t>
            </w:r>
          </w:p>
          <w:p w14:paraId="48A9CFFD" w14:textId="77777777" w:rsidR="000B5009" w:rsidRPr="004906DC" w:rsidRDefault="000B5009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Alt ve üst birimlerle olan ilişkileri düzenler</w:t>
            </w:r>
          </w:p>
          <w:p w14:paraId="359CF28E" w14:textId="77777777" w:rsidR="000B5009" w:rsidRPr="004906DC" w:rsidRDefault="000B5009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 xml:space="preserve">Toplum sağlığına yönelik aktivitelere katılır ve toplum kuruluşları ile ortak çalışmalar planlar, </w:t>
            </w:r>
            <w:r w:rsidRPr="004906DC">
              <w:lastRenderedPageBreak/>
              <w:t>danışmanlık yapar.</w:t>
            </w:r>
          </w:p>
          <w:p w14:paraId="6111FCAA" w14:textId="77777777" w:rsidR="00D878FB" w:rsidRPr="004906DC" w:rsidRDefault="00D878FB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Araştırmalar planlar, yürütür</w:t>
            </w:r>
            <w:r w:rsidR="004D12E0" w:rsidRPr="004906DC">
              <w:t>,</w:t>
            </w:r>
            <w:r w:rsidRPr="004906DC">
              <w:t xml:space="preserve"> sonuçlarını duyurur</w:t>
            </w:r>
            <w:r w:rsidR="004D12E0" w:rsidRPr="004906DC">
              <w:t>,</w:t>
            </w:r>
            <w:r w:rsidRPr="004906DC">
              <w:t xml:space="preserve"> </w:t>
            </w:r>
          </w:p>
          <w:p w14:paraId="0A16DFC0" w14:textId="77777777" w:rsidR="00D878FB" w:rsidRPr="004906DC" w:rsidRDefault="004D12E0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Mesleki yayınları okuyarak</w:t>
            </w:r>
            <w:r w:rsidR="00D878FB" w:rsidRPr="004906DC">
              <w:t xml:space="preserve"> yenilikleri takip eder.</w:t>
            </w:r>
          </w:p>
          <w:p w14:paraId="2A9281FF" w14:textId="77777777" w:rsidR="00E63AA8" w:rsidRPr="004906DC" w:rsidRDefault="00E63AA8" w:rsidP="00DA2F29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906DC">
              <w:t>Kaynakların verimli, etkin ve ekonomik kullanılmasını sağlar,</w:t>
            </w:r>
          </w:p>
          <w:p w14:paraId="5191E4C9" w14:textId="77777777" w:rsidR="00E63AA8" w:rsidRPr="00792329" w:rsidRDefault="00E745B3" w:rsidP="00DA2F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u w:val="single"/>
              </w:rPr>
            </w:pPr>
            <w:r w:rsidRPr="004906DC">
              <w:t>Fakültenin etik kurallarına uyulmasına özen gösterir.</w:t>
            </w:r>
            <w:bookmarkEnd w:id="0"/>
          </w:p>
        </w:tc>
      </w:tr>
      <w:tr w:rsidR="00E63AA8" w:rsidRPr="00DA2F29" w14:paraId="6487D776" w14:textId="77777777" w:rsidTr="009E3530">
        <w:tc>
          <w:tcPr>
            <w:tcW w:w="10065" w:type="dxa"/>
          </w:tcPr>
          <w:p w14:paraId="35D91859" w14:textId="77777777" w:rsidR="00E63AA8" w:rsidRPr="00DA2F29" w:rsidRDefault="00E63AA8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</w:rPr>
              <w:lastRenderedPageBreak/>
              <w:t xml:space="preserve">İş Çıktısı: </w:t>
            </w:r>
            <w:r w:rsidRPr="00DA2F29">
              <w:t>Yetki ve sorumlulukları dâhilinde yapılan işlerle ve diğer kurumlara gönderilecek her türlü yazı, belge ve araştırma ilgili bölüm başkanlığını, anabilim dalı başkanlığını sözlü ya da yazılı olarak bilgilendirme.</w:t>
            </w:r>
          </w:p>
        </w:tc>
      </w:tr>
      <w:tr w:rsidR="00D878FB" w:rsidRPr="00DA2F29" w14:paraId="5716F355" w14:textId="77777777" w:rsidTr="009E3530">
        <w:tc>
          <w:tcPr>
            <w:tcW w:w="10065" w:type="dxa"/>
          </w:tcPr>
          <w:p w14:paraId="4A61AE7F" w14:textId="4D07A907" w:rsidR="00D878FB" w:rsidRPr="00DA2F29" w:rsidRDefault="00D878FB" w:rsidP="00DA2F29">
            <w:pPr>
              <w:spacing w:line="360" w:lineRule="auto"/>
              <w:jc w:val="both"/>
            </w:pPr>
            <w:r w:rsidRPr="00DA2F29">
              <w:rPr>
                <w:b/>
                <w:bCs/>
              </w:rPr>
              <w:t xml:space="preserve">İşin Diğer İşlerle Olan İlişkileri: </w:t>
            </w:r>
            <w:r w:rsidRPr="00DA2F29">
              <w:rPr>
                <w:bCs/>
              </w:rPr>
              <w:t>Yasal sınırlar içinde ulusal ve uluslararası kuruluşlar</w:t>
            </w:r>
            <w:r w:rsidRPr="00DA2F29">
              <w:rPr>
                <w:b/>
                <w:bCs/>
              </w:rPr>
              <w:t xml:space="preserve"> </w:t>
            </w:r>
            <w:r w:rsidR="00DA2F29">
              <w:rPr>
                <w:b/>
                <w:bCs/>
              </w:rPr>
              <w:t>(</w:t>
            </w:r>
            <w:r w:rsidRPr="00DA2F29">
              <w:t xml:space="preserve">Mesleki örgüt ve kuruluşlar, sivil toplum </w:t>
            </w:r>
            <w:r w:rsidR="00333AED" w:rsidRPr="00DA2F29">
              <w:t>kuruluşları, toplum</w:t>
            </w:r>
            <w:r w:rsidRPr="00DA2F29">
              <w:t xml:space="preserve"> ve sağlık </w:t>
            </w:r>
            <w:r w:rsidR="003B7CFA" w:rsidRPr="00DA2F29">
              <w:t>kuruluşları) sağlık</w:t>
            </w:r>
            <w:r w:rsidRPr="00DA2F29">
              <w:t xml:space="preserve"> ekibi üyeleri, kurumda görevli tüm öğretim elemanları.</w:t>
            </w:r>
          </w:p>
          <w:p w14:paraId="207015CE" w14:textId="77777777" w:rsidR="00E63AA8" w:rsidRPr="00DA2F29" w:rsidRDefault="00D878FB" w:rsidP="00DA2F29">
            <w:pPr>
              <w:spacing w:line="360" w:lineRule="auto"/>
              <w:jc w:val="both"/>
            </w:pPr>
            <w:r w:rsidRPr="00DA2F29">
              <w:rPr>
                <w:b/>
                <w:bCs/>
              </w:rPr>
              <w:t>Bağlanacağı üst görevler:</w:t>
            </w:r>
            <w:r w:rsidR="00E63AA8" w:rsidRPr="00DA2F29">
              <w:rPr>
                <w:b/>
              </w:rPr>
              <w:t xml:space="preserve"> </w:t>
            </w:r>
            <w:r w:rsidR="00E63AA8" w:rsidRPr="00DA2F29">
              <w:t xml:space="preserve">Dekan, Bölüm Başkanı, Anabilim Dalı Başkanı, Fakülte Sekreteri, Dekanlık Birimleri, Bölüm Sekreteri. </w:t>
            </w:r>
          </w:p>
          <w:p w14:paraId="0701473F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Kendisine Bağlanacak Alt Görevler:</w:t>
            </w:r>
            <w:r w:rsidRPr="00DA2F29">
              <w:t xml:space="preserve"> Anabilim Dalı’nda </w:t>
            </w:r>
            <w:r w:rsidR="004D12E0" w:rsidRPr="00DA2F29">
              <w:t>görevli</w:t>
            </w:r>
            <w:r w:rsidRPr="00DA2F29">
              <w:t xml:space="preserve"> </w:t>
            </w:r>
            <w:r w:rsidR="00E745B3" w:rsidRPr="00DA2F29">
              <w:t xml:space="preserve">öğretim görevlileri ve </w:t>
            </w:r>
            <w:r w:rsidRPr="00DA2F29">
              <w:t xml:space="preserve">araştırma görevlileri </w:t>
            </w:r>
          </w:p>
        </w:tc>
      </w:tr>
      <w:tr w:rsidR="00F406AA" w:rsidRPr="00DA2F29" w14:paraId="49142B2A" w14:textId="77777777" w:rsidTr="009E3530">
        <w:tc>
          <w:tcPr>
            <w:tcW w:w="10065" w:type="dxa"/>
          </w:tcPr>
          <w:p w14:paraId="2681ED9B" w14:textId="77777777" w:rsidR="00F406AA" w:rsidRPr="00DA2F29" w:rsidRDefault="00F406AA" w:rsidP="00DA2F29">
            <w:pPr>
              <w:spacing w:line="360" w:lineRule="auto"/>
              <w:jc w:val="both"/>
            </w:pPr>
            <w:r w:rsidRPr="00DA2F29">
              <w:rPr>
                <w:b/>
              </w:rPr>
              <w:t xml:space="preserve">İş sırasında ihtiyaç duyulan bilgiler: </w:t>
            </w:r>
            <w:r w:rsidRPr="00DA2F29">
              <w:t xml:space="preserve">Kanunlar, resmi yazılar, yönetmelik ve yönergeler. </w:t>
            </w:r>
          </w:p>
          <w:p w14:paraId="61851219" w14:textId="77777777" w:rsidR="00F406AA" w:rsidRPr="00DA2F29" w:rsidRDefault="00F406AA" w:rsidP="00DA2F29">
            <w:pPr>
              <w:spacing w:after="160" w:line="360" w:lineRule="auto"/>
              <w:jc w:val="both"/>
              <w:rPr>
                <w:b/>
                <w:bCs/>
              </w:rPr>
            </w:pPr>
            <w:r w:rsidRPr="00DA2F29">
              <w:t>Yazılı ve sözlü olarak verilen görev ve talimatlar. Elektronik Belge Yönetim Sistemi (EBYS) üzerinden havale edilen işlemler için hazırlanmış olan iş akışları, usul ve esaslar.</w:t>
            </w:r>
          </w:p>
        </w:tc>
      </w:tr>
      <w:tr w:rsidR="00D878FB" w:rsidRPr="00DA2F29" w14:paraId="20C1B425" w14:textId="77777777" w:rsidTr="009E3530">
        <w:tc>
          <w:tcPr>
            <w:tcW w:w="10065" w:type="dxa"/>
          </w:tcPr>
          <w:p w14:paraId="25C8BB2F" w14:textId="37D2CEC2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Kullanılan Makine, Araç ve Gereçler</w:t>
            </w:r>
            <w:r w:rsidRPr="00DA2F29">
              <w:t xml:space="preserve"> Kitap, dergi, kütüphane, demonstrasyon araç gereçleri, </w:t>
            </w:r>
            <w:proofErr w:type="spellStart"/>
            <w:r w:rsidRPr="00DA2F29">
              <w:t>barkovizyon</w:t>
            </w:r>
            <w:proofErr w:type="spellEnd"/>
            <w:r w:rsidRPr="00DA2F29">
              <w:t xml:space="preserve">, bilgisayar, yazıcı, kartuş, CD, </w:t>
            </w:r>
            <w:r w:rsidR="003B7CFA" w:rsidRPr="00DA2F29">
              <w:t>kâğıt, telli</w:t>
            </w:r>
            <w:r w:rsidRPr="00DA2F29">
              <w:t xml:space="preserve"> dosya ve poşet </w:t>
            </w:r>
            <w:r w:rsidR="003B7CFA" w:rsidRPr="00DA2F29">
              <w:t>dosya ve</w:t>
            </w:r>
            <w:r w:rsidRPr="00DA2F29">
              <w:t xml:space="preserve"> diğer kırtasiye malzemesi.</w:t>
            </w:r>
          </w:p>
        </w:tc>
      </w:tr>
      <w:tr w:rsidR="00D878FB" w:rsidRPr="00DA2F29" w14:paraId="306E4FF6" w14:textId="77777777" w:rsidTr="009E3530">
        <w:tc>
          <w:tcPr>
            <w:tcW w:w="10065" w:type="dxa"/>
          </w:tcPr>
          <w:p w14:paraId="4228C084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 xml:space="preserve">Kişisel Nitelikler: </w:t>
            </w:r>
            <w:r w:rsidRPr="00DA2F29">
              <w:t>Eğitim ve yönetim becerilerine sahip, alanında bilgili, eğitime öncelik veren, çalışma arkadaşlarına ve öğrencilere saygılı, demokratik, ulaşılabilir, iletişim becerilerine ve liderlik yeteneklerine sahip olmalıdır.</w:t>
            </w:r>
            <w:r w:rsidRPr="00DA2F29">
              <w:rPr>
                <w:b/>
                <w:bCs/>
              </w:rPr>
              <w:t xml:space="preserve"> </w:t>
            </w:r>
          </w:p>
        </w:tc>
      </w:tr>
      <w:tr w:rsidR="00D878FB" w:rsidRPr="00DA2F29" w14:paraId="42B0C248" w14:textId="77777777" w:rsidTr="009E3530">
        <w:tc>
          <w:tcPr>
            <w:tcW w:w="10065" w:type="dxa"/>
          </w:tcPr>
          <w:p w14:paraId="12FE5933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 xml:space="preserve">Eğitim ve Deneyimi: </w:t>
            </w:r>
            <w:r w:rsidRPr="00DA2F29">
              <w:t xml:space="preserve">2547 sayılı Yükseköğretim Kanunu’ </w:t>
            </w:r>
            <w:proofErr w:type="spellStart"/>
            <w:r w:rsidRPr="00DA2F29">
              <w:t>nun</w:t>
            </w:r>
            <w:proofErr w:type="spellEnd"/>
            <w:r w:rsidRPr="00DA2F29">
              <w:t xml:space="preserve"> gerektirdiklerine sahip olmalıdır.</w:t>
            </w:r>
            <w:r w:rsidRPr="00DA2F29">
              <w:rPr>
                <w:b/>
                <w:bCs/>
              </w:rPr>
              <w:t xml:space="preserve"> </w:t>
            </w:r>
          </w:p>
        </w:tc>
      </w:tr>
      <w:tr w:rsidR="00D878FB" w:rsidRPr="00DA2F29" w14:paraId="1122989C" w14:textId="77777777" w:rsidTr="009E3530">
        <w:tc>
          <w:tcPr>
            <w:tcW w:w="10065" w:type="dxa"/>
          </w:tcPr>
          <w:p w14:paraId="121A2C4F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Çalışma Koşulları:</w:t>
            </w:r>
            <w:r w:rsidRPr="00DA2F29">
              <w:t xml:space="preserve"> 2547 sayılı Yükseköğretim Kanunu’ </w:t>
            </w:r>
            <w:proofErr w:type="spellStart"/>
            <w:proofErr w:type="gramStart"/>
            <w:r w:rsidRPr="00DA2F29">
              <w:t>nun</w:t>
            </w:r>
            <w:proofErr w:type="spellEnd"/>
            <w:r w:rsidRPr="00DA2F29">
              <w:t xml:space="preserve"> , 657</w:t>
            </w:r>
            <w:proofErr w:type="gramEnd"/>
            <w:r w:rsidRPr="00DA2F29">
              <w:t xml:space="preserve"> sayılı Devlet memurları Kanunun’ </w:t>
            </w:r>
            <w:proofErr w:type="spellStart"/>
            <w:r w:rsidRPr="00DA2F29">
              <w:t>nun</w:t>
            </w:r>
            <w:proofErr w:type="spellEnd"/>
            <w:r w:rsidRPr="00DA2F29">
              <w:t xml:space="preserve"> gereklerine göre atanır ve çalışır. </w:t>
            </w:r>
            <w:r w:rsidR="004E6D29" w:rsidRPr="00DA2F29">
              <w:t>Yükseköğretim Kanunu’nun 4. ve 5. maddelerinde belirtilen amaç ve ilkelere uygun hareket etmek.</w:t>
            </w:r>
            <w:r w:rsidR="00E63AA8" w:rsidRPr="00DA2F29">
              <w:rPr>
                <w:b/>
              </w:rPr>
              <w:t xml:space="preserve"> </w:t>
            </w:r>
          </w:p>
        </w:tc>
      </w:tr>
    </w:tbl>
    <w:p w14:paraId="77455E34" w14:textId="77777777" w:rsidR="00D878FB" w:rsidRPr="00DA2F29" w:rsidRDefault="00D878FB" w:rsidP="00DA2F29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6"/>
        <w:gridCol w:w="1535"/>
        <w:gridCol w:w="1535"/>
        <w:gridCol w:w="1536"/>
      </w:tblGrid>
      <w:tr w:rsidR="00D878FB" w:rsidRPr="00DA2F29" w14:paraId="5EB83054" w14:textId="77777777" w:rsidTr="00DF7169">
        <w:tc>
          <w:tcPr>
            <w:tcW w:w="1535" w:type="dxa"/>
          </w:tcPr>
          <w:p w14:paraId="3B3BE04F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Hazırlayan</w:t>
            </w:r>
          </w:p>
        </w:tc>
        <w:tc>
          <w:tcPr>
            <w:tcW w:w="1535" w:type="dxa"/>
          </w:tcPr>
          <w:p w14:paraId="03191470" w14:textId="77777777" w:rsidR="00D878FB" w:rsidRPr="00DA2F29" w:rsidRDefault="003D6FA3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 xml:space="preserve">Kontrol Eden </w:t>
            </w:r>
          </w:p>
        </w:tc>
        <w:tc>
          <w:tcPr>
            <w:tcW w:w="1536" w:type="dxa"/>
          </w:tcPr>
          <w:p w14:paraId="7431C914" w14:textId="77777777" w:rsidR="00D878FB" w:rsidRPr="00DA2F29" w:rsidRDefault="003D6FA3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Onaylayan</w:t>
            </w:r>
          </w:p>
        </w:tc>
        <w:tc>
          <w:tcPr>
            <w:tcW w:w="1535" w:type="dxa"/>
          </w:tcPr>
          <w:p w14:paraId="34FBED8B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Doküman Kodu</w:t>
            </w:r>
          </w:p>
        </w:tc>
        <w:tc>
          <w:tcPr>
            <w:tcW w:w="1535" w:type="dxa"/>
          </w:tcPr>
          <w:p w14:paraId="3FD4BFD8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DA2F29">
              <w:rPr>
                <w:b/>
                <w:bCs/>
              </w:rPr>
              <w:t>Rev</w:t>
            </w:r>
            <w:proofErr w:type="spellEnd"/>
            <w:r w:rsidRPr="00DA2F29">
              <w:rPr>
                <w:b/>
                <w:bCs/>
              </w:rPr>
              <w:t>. No./ Tarih</w:t>
            </w:r>
          </w:p>
        </w:tc>
        <w:tc>
          <w:tcPr>
            <w:tcW w:w="1536" w:type="dxa"/>
          </w:tcPr>
          <w:p w14:paraId="5FD08CD8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  <w:r w:rsidRPr="00DA2F29">
              <w:rPr>
                <w:b/>
                <w:bCs/>
              </w:rPr>
              <w:t>Sayfa No</w:t>
            </w:r>
          </w:p>
        </w:tc>
      </w:tr>
      <w:tr w:rsidR="00D878FB" w:rsidRPr="00DA2F29" w14:paraId="64B4DA20" w14:textId="77777777" w:rsidTr="00DF7169">
        <w:tc>
          <w:tcPr>
            <w:tcW w:w="1535" w:type="dxa"/>
          </w:tcPr>
          <w:p w14:paraId="5B22FC00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35" w:type="dxa"/>
          </w:tcPr>
          <w:p w14:paraId="682A8502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36" w:type="dxa"/>
          </w:tcPr>
          <w:p w14:paraId="423D84FA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35" w:type="dxa"/>
          </w:tcPr>
          <w:p w14:paraId="4D235033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35" w:type="dxa"/>
          </w:tcPr>
          <w:p w14:paraId="5EC88526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36" w:type="dxa"/>
          </w:tcPr>
          <w:p w14:paraId="4DA8EDBA" w14:textId="77777777" w:rsidR="00D878FB" w:rsidRPr="00DA2F29" w:rsidRDefault="00D878FB" w:rsidP="00DA2F29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920EA80" w14:textId="77777777" w:rsidR="00D878FB" w:rsidRPr="00DA2F29" w:rsidRDefault="00D878FB" w:rsidP="00DA2F29">
      <w:pPr>
        <w:spacing w:line="360" w:lineRule="auto"/>
        <w:jc w:val="both"/>
        <w:rPr>
          <w:b/>
          <w:bCs/>
        </w:rPr>
      </w:pPr>
    </w:p>
    <w:p w14:paraId="4ED0E10E" w14:textId="77777777" w:rsidR="00467966" w:rsidRPr="00DA2F29" w:rsidRDefault="00467966" w:rsidP="00DA2F29">
      <w:pPr>
        <w:spacing w:line="360" w:lineRule="auto"/>
        <w:jc w:val="both"/>
      </w:pPr>
    </w:p>
    <w:sectPr w:rsidR="00467966" w:rsidRPr="00DA2F29" w:rsidSect="00DA2F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B94"/>
    <w:multiLevelType w:val="hybridMultilevel"/>
    <w:tmpl w:val="1DACA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5B11"/>
    <w:multiLevelType w:val="hybridMultilevel"/>
    <w:tmpl w:val="8E4686F6"/>
    <w:lvl w:ilvl="0" w:tplc="D854B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90D78"/>
    <w:multiLevelType w:val="hybridMultilevel"/>
    <w:tmpl w:val="40CC550E"/>
    <w:lvl w:ilvl="0" w:tplc="E946D7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524E1"/>
    <w:multiLevelType w:val="hybridMultilevel"/>
    <w:tmpl w:val="027CCFA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2A27F3C"/>
    <w:multiLevelType w:val="hybridMultilevel"/>
    <w:tmpl w:val="3DB25B44"/>
    <w:lvl w:ilvl="0" w:tplc="A290EB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D0768"/>
    <w:multiLevelType w:val="hybridMultilevel"/>
    <w:tmpl w:val="49A016A2"/>
    <w:lvl w:ilvl="0" w:tplc="AE848F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FB"/>
    <w:rsid w:val="0002112F"/>
    <w:rsid w:val="0002179A"/>
    <w:rsid w:val="000B5009"/>
    <w:rsid w:val="000D6301"/>
    <w:rsid w:val="001555B2"/>
    <w:rsid w:val="00333AED"/>
    <w:rsid w:val="003B7CFA"/>
    <w:rsid w:val="003D6FA3"/>
    <w:rsid w:val="004369CF"/>
    <w:rsid w:val="00451AC5"/>
    <w:rsid w:val="00467966"/>
    <w:rsid w:val="00483073"/>
    <w:rsid w:val="004906DC"/>
    <w:rsid w:val="004D12E0"/>
    <w:rsid w:val="004E6D29"/>
    <w:rsid w:val="004E76D6"/>
    <w:rsid w:val="004F6547"/>
    <w:rsid w:val="005C2D9E"/>
    <w:rsid w:val="00765854"/>
    <w:rsid w:val="00792329"/>
    <w:rsid w:val="008B581A"/>
    <w:rsid w:val="00995E06"/>
    <w:rsid w:val="009E3530"/>
    <w:rsid w:val="00A2157B"/>
    <w:rsid w:val="00AB48A2"/>
    <w:rsid w:val="00AE24B5"/>
    <w:rsid w:val="00B247F7"/>
    <w:rsid w:val="00BA1535"/>
    <w:rsid w:val="00D21C4A"/>
    <w:rsid w:val="00D878FB"/>
    <w:rsid w:val="00DA2F29"/>
    <w:rsid w:val="00DB4AD1"/>
    <w:rsid w:val="00E07305"/>
    <w:rsid w:val="00E63AA8"/>
    <w:rsid w:val="00E745B3"/>
    <w:rsid w:val="00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F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8FB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8F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uiPriority w:val="22"/>
    <w:qFormat/>
    <w:rsid w:val="00E07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8FB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8F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uiPriority w:val="22"/>
    <w:qFormat/>
    <w:rsid w:val="00E0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KSBÜ</cp:lastModifiedBy>
  <cp:revision>14</cp:revision>
  <dcterms:created xsi:type="dcterms:W3CDTF">2019-12-06T08:10:00Z</dcterms:created>
  <dcterms:modified xsi:type="dcterms:W3CDTF">2022-07-04T11:34:00Z</dcterms:modified>
</cp:coreProperties>
</file>