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DC" w:rsidRPr="005941DC" w:rsidRDefault="005941DC" w:rsidP="00323DF6">
      <w:pPr>
        <w:shd w:val="clear" w:color="auto" w:fill="FFFFFF"/>
        <w:spacing w:after="225" w:line="330" w:lineRule="atLeast"/>
        <w:jc w:val="center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 w:rsidRPr="005941DC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  <w:lang w:eastAsia="tr-TR"/>
        </w:rPr>
        <w:t>AMAÇ VE HEDEFLERİMİZ (20</w:t>
      </w:r>
      <w:r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  <w:lang w:eastAsia="tr-TR"/>
        </w:rPr>
        <w:t>20</w:t>
      </w:r>
      <w:r w:rsidRPr="005941DC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  <w:lang w:eastAsia="tr-TR"/>
        </w:rPr>
        <w:t xml:space="preserve"> – 20</w:t>
      </w:r>
      <w:r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  <w:lang w:eastAsia="tr-TR"/>
        </w:rPr>
        <w:t>23</w:t>
      </w:r>
      <w:r w:rsidRPr="005941DC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  <w:lang w:eastAsia="tr-TR"/>
        </w:rPr>
        <w:t>)</w:t>
      </w:r>
    </w:p>
    <w:tbl>
      <w:tblPr>
        <w:tblW w:w="9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381"/>
        <w:gridCol w:w="2513"/>
      </w:tblGrid>
      <w:tr w:rsidR="005941DC" w:rsidRPr="005941DC" w:rsidTr="005941DC">
        <w:tc>
          <w:tcPr>
            <w:tcW w:w="9404" w:type="dxa"/>
            <w:gridSpan w:val="3"/>
            <w:tcBorders>
              <w:left w:val="nil"/>
              <w:bottom w:val="single" w:sz="8" w:space="0" w:color="7F7F7F"/>
              <w:right w:val="nil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1287"/>
              <w:rPr>
                <w:rFonts w:ascii="Times New Roman" w:eastAsia="Times New Roman" w:hAnsi="Times New Roman" w:cs="Times New Roman"/>
                <w:color w:val="FFFFFF" w:themeColor="background1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8"/>
                <w:szCs w:val="28"/>
                <w:lang w:eastAsia="tr-TR"/>
              </w:rPr>
              <w:t>STRATEJİK AMAÇ – I:</w:t>
            </w:r>
            <w:r w:rsidRPr="005941DC">
              <w:rPr>
                <w:rFonts w:ascii="Calibri Light" w:eastAsia="Times New Roman" w:hAnsi="Calibri Light" w:cs="Times New Roman"/>
                <w:color w:val="FFFFFF" w:themeColor="background1"/>
                <w:sz w:val="28"/>
                <w:szCs w:val="28"/>
                <w:lang w:eastAsia="tr-TR"/>
              </w:rPr>
              <w:t> </w:t>
            </w:r>
            <w:r w:rsidRPr="005941D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8"/>
                <w:szCs w:val="28"/>
                <w:lang w:eastAsia="tr-TR"/>
              </w:rPr>
              <w:t>Eğitim-Öğretim Kalitesini Geliştirmek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2E74B5"/>
                <w:sz w:val="24"/>
                <w:szCs w:val="24"/>
                <w:lang w:eastAsia="tr-TR"/>
              </w:rPr>
              <w:t>Stratejik Hedefler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3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2E74B5"/>
                <w:sz w:val="24"/>
                <w:szCs w:val="24"/>
                <w:lang w:eastAsia="tr-TR"/>
              </w:rPr>
              <w:t>Performans Göstergeleri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2E74B5"/>
                <w:sz w:val="24"/>
                <w:szCs w:val="24"/>
                <w:lang w:eastAsia="tr-TR"/>
              </w:rPr>
              <w:t>Sorumlu Birim</w:t>
            </w:r>
          </w:p>
        </w:tc>
      </w:tr>
      <w:tr w:rsidR="005941DC" w:rsidRPr="005941DC" w:rsidTr="005941DC">
        <w:trPr>
          <w:trHeight w:val="916"/>
        </w:trPr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1) Eğitim-öğretim alanlarının fiziki ve teknolojik donanımlarını iyileştirmek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Fiziki ve teknolojik donanımı iyileştirilen eğitim-öğretim alanı/Toplam eğitim-</w:t>
            </w:r>
            <w:r w:rsidRPr="005941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 </w:t>
            </w: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öğretim alanı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Meslek Yüksekokulu/</w:t>
            </w:r>
          </w:p>
          <w:p w:rsidR="005941DC" w:rsidRPr="005941DC" w:rsidRDefault="005941DC" w:rsidP="005941D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Rektörlük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2) Öğrencilerimizin girişimcilik ve kariyer geliştirme becerilerini geliştirmek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Girişim</w:t>
            </w:r>
            <w:bookmarkStart w:id="0" w:name="_GoBack"/>
            <w:bookmarkEnd w:id="0"/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cilik ve kariyer geliştirme becerilerini geliştirmeye yönelik ders sayısı/Toplam ders sayısı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3) Tüm Programlardaki derslere hitap edebilecek Laboratuvar Donanımlarının iyileştirilmesi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Laboratuvarlara alınan-onarılan makine sayısı/</w:t>
            </w:r>
            <w:proofErr w:type="spellStart"/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laboratuarlardaki</w:t>
            </w:r>
            <w:proofErr w:type="spellEnd"/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 xml:space="preserve"> mevcut makine ve cihaz sayısı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Meslek Yüksekokulu/</w:t>
            </w:r>
          </w:p>
          <w:p w:rsidR="005941DC" w:rsidRPr="005941DC" w:rsidRDefault="005941DC" w:rsidP="005941D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Rektörlük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4) Talepler doğrultusunda çeşitli paket programlar satın alınması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Satın alınan paket program sayısı/Toplam paket program sayısı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</w:tr>
      <w:tr w:rsidR="005941DC" w:rsidRPr="005941DC" w:rsidTr="005941DC">
        <w:trPr>
          <w:trHeight w:val="381"/>
        </w:trPr>
        <w:tc>
          <w:tcPr>
            <w:tcW w:w="9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rPr>
          <w:trHeight w:val="381"/>
        </w:trPr>
        <w:tc>
          <w:tcPr>
            <w:tcW w:w="9404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rPr>
          <w:trHeight w:val="381"/>
        </w:trPr>
        <w:tc>
          <w:tcPr>
            <w:tcW w:w="9404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rPr>
          <w:trHeight w:val="381"/>
        </w:trPr>
        <w:tc>
          <w:tcPr>
            <w:tcW w:w="9404" w:type="dxa"/>
            <w:gridSpan w:val="3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FFFF" w:themeColor="background1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8"/>
                <w:szCs w:val="28"/>
                <w:lang w:eastAsia="tr-TR"/>
              </w:rPr>
              <w:t>STRATEJİK AMAÇ – II:</w:t>
            </w:r>
            <w:r w:rsidRPr="005941DC">
              <w:rPr>
                <w:rFonts w:ascii="Calibri Light" w:eastAsia="Times New Roman" w:hAnsi="Calibri Light" w:cs="Times New Roman"/>
                <w:color w:val="FFFFFF" w:themeColor="background1"/>
                <w:sz w:val="28"/>
                <w:szCs w:val="28"/>
                <w:lang w:eastAsia="tr-TR"/>
              </w:rPr>
              <w:t> </w:t>
            </w:r>
            <w:r w:rsidRPr="005941D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8"/>
                <w:szCs w:val="28"/>
                <w:lang w:eastAsia="tr-TR"/>
              </w:rPr>
              <w:t>Kalite Süreçlerini Belirlemiş Bir Yönetim Anlayışı Doğrultusunda İnsan Kaynaklarının Geliştirilmesi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2E74B5"/>
                <w:sz w:val="24"/>
                <w:szCs w:val="24"/>
                <w:lang w:eastAsia="tr-TR"/>
              </w:rPr>
              <w:t>Stratejik Hedefler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3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2E74B5"/>
                <w:sz w:val="24"/>
                <w:szCs w:val="24"/>
                <w:lang w:eastAsia="tr-TR"/>
              </w:rPr>
              <w:t>Performans Göstergeleri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2E74B5"/>
                <w:sz w:val="24"/>
                <w:szCs w:val="24"/>
                <w:lang w:eastAsia="tr-TR"/>
              </w:rPr>
              <w:t>Sorumlu Birim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1) Akademik ve idari personele verilen hizmet içi eğitim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Eğitim alan idari ve akademik personel sayısı/Toplam personel sayısı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2) Üniversitede nitelikli ve kalıcı idari kadroların oluşturulması ve dağılımında araştırma birimlerinin ihtiyaçlarının ve araştırma kapasitesinin göz önüne alınması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İdari kadrolarına verilen yükselme eğitimleri ve yükselme sınavı başarı oranları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Meslek Yüksekokulu /Rektörlük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3) İdari personele yönelik iş rotasyonu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Rotasyona uğrayan personel sayısı/Toplam personel sayısı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top w:val="single" w:sz="8" w:space="0" w:color="7F7F7F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left w:val="nil"/>
              <w:bottom w:val="single" w:sz="8" w:space="0" w:color="7F7F7F"/>
              <w:right w:val="nil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Times New Roman" w:eastAsia="Times New Roman" w:hAnsi="Times New Roman" w:cs="Times New Roman"/>
                <w:color w:val="FFFFFF" w:themeColor="background1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8"/>
                <w:szCs w:val="28"/>
                <w:lang w:eastAsia="tr-TR"/>
              </w:rPr>
              <w:t>STRATEJİK AMAÇ – III:</w:t>
            </w:r>
            <w:r w:rsidRPr="005941DC">
              <w:rPr>
                <w:rFonts w:ascii="Calibri Light" w:eastAsia="Times New Roman" w:hAnsi="Calibri Light" w:cs="Times New Roman"/>
                <w:color w:val="FFFFFF" w:themeColor="background1"/>
                <w:sz w:val="28"/>
                <w:szCs w:val="28"/>
                <w:lang w:eastAsia="tr-TR"/>
              </w:rPr>
              <w:t> </w:t>
            </w:r>
            <w:r w:rsidRPr="005941D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8"/>
                <w:szCs w:val="28"/>
                <w:lang w:eastAsia="tr-TR"/>
              </w:rPr>
              <w:t>Araştırma Kapasitesini Geliştirmek ve Teşvik Etmek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2E74B5"/>
                <w:sz w:val="24"/>
                <w:szCs w:val="24"/>
                <w:lang w:eastAsia="tr-TR"/>
              </w:rPr>
              <w:t>Stratejik Hedefler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3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2E74B5"/>
                <w:sz w:val="24"/>
                <w:szCs w:val="24"/>
                <w:lang w:eastAsia="tr-TR"/>
              </w:rPr>
              <w:t>Performans Göstergeleri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2E74B5"/>
                <w:sz w:val="24"/>
                <w:szCs w:val="24"/>
                <w:lang w:eastAsia="tr-TR"/>
              </w:rPr>
              <w:t>Sorumlu Birim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-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1) Öğretim elemanlarının bilimsel çalışmalarına aralıksız devam etmesi.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3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Ulusal ya da uluslararası yayın yapan öğretim elemanı sayısı/Toplam öğretim elemanı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</w:tr>
      <w:tr w:rsidR="005941DC" w:rsidRPr="005941DC" w:rsidTr="005941DC">
        <w:trPr>
          <w:trHeight w:val="2047"/>
        </w:trPr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-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 xml:space="preserve">2) Bilimsel faaliyetlerin (yurt içi-yurt dışı kongrelere katılım, kongre ve </w:t>
            </w:r>
            <w:proofErr w:type="gramStart"/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sempozyum</w:t>
            </w:r>
            <w:proofErr w:type="gramEnd"/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 xml:space="preserve"> organizasyonu, </w:t>
            </w:r>
            <w:proofErr w:type="spellStart"/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çalıştay</w:t>
            </w:r>
            <w:proofErr w:type="spellEnd"/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 xml:space="preserve"> vb.) belirli kriterler çerçevesinde maddi olarak desteklenmesi sağlanacaktır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3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Desteklenen bilimsel faaliyet sayısı/Talep edilen Bilimsel faaliyet sayısı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-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3) Üniversite araştırmacıları tarafından alınan dış kaynaklı projelerle (AB, Avrupa Komisyonu, BM, Dünya Bankası vb.) ilgili eğitim alınması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3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Sağlanan eğitim sayısı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Times New Roman" w:eastAsia="Times New Roman" w:hAnsi="Times New Roman" w:cs="Times New Roman"/>
                <w:color w:val="FFFFFF" w:themeColor="background1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8"/>
                <w:szCs w:val="28"/>
                <w:lang w:eastAsia="tr-TR"/>
              </w:rPr>
              <w:t>STRATEJİK AMAÇ – IV:</w:t>
            </w:r>
            <w:r w:rsidRPr="005941DC">
              <w:rPr>
                <w:rFonts w:ascii="Calibri Light" w:eastAsia="Times New Roman" w:hAnsi="Calibri Light" w:cs="Times New Roman"/>
                <w:color w:val="FFFFFF" w:themeColor="background1"/>
                <w:sz w:val="28"/>
                <w:szCs w:val="28"/>
                <w:lang w:eastAsia="tr-TR"/>
              </w:rPr>
              <w:t> </w:t>
            </w:r>
            <w:r w:rsidRPr="005941D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8"/>
                <w:szCs w:val="28"/>
                <w:lang w:eastAsia="tr-TR"/>
              </w:rPr>
              <w:t>Toplumsal Hizmetleri Geliştirmek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2E74B5"/>
                <w:sz w:val="24"/>
                <w:szCs w:val="24"/>
                <w:lang w:eastAsia="tr-TR"/>
              </w:rPr>
              <w:t>Stratejik Hedefler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3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2E74B5"/>
                <w:sz w:val="24"/>
                <w:szCs w:val="24"/>
                <w:lang w:eastAsia="tr-TR"/>
              </w:rPr>
              <w:t>Performans Göstergeleri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2E74B5"/>
                <w:sz w:val="24"/>
                <w:szCs w:val="24"/>
                <w:lang w:eastAsia="tr-TR"/>
              </w:rPr>
              <w:t>Sorumlu Birim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-25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1) Topluma açık bilgilendirme ve kültürel faaliyetleri yürütmek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3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Gerçekleştirilen panel, eğitim semineri, konferans, bilgilendirme vb. sayısı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-25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2) Mesleki alanlarda verilen danışmanlık ve sertifikasyon hizmetlerinin kapsamlarının genişletilmesi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3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Gerçekleştirilen danışmanlık ve sertifikasyon hizmetlerinin sayısı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-25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3) Öğrencilerin sosyal faaliyetlerini gerçekleştirdikleri spor (futbol, voleybol, basketbol) sahası iyileştirme çalışmaları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3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Spor sahasının iyileştirilmesinin gerçekleştirilmesi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Meslek Yüksekokulu /Rektörlük/</w:t>
            </w:r>
          </w:p>
          <w:p w:rsidR="005941DC" w:rsidRPr="005941DC" w:rsidRDefault="005941DC" w:rsidP="005941DC">
            <w:pPr>
              <w:spacing w:after="0" w:line="330" w:lineRule="atLeas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Yerel Yönetim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-25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4) MYO taşıt ve yaya girişinin genişletilmesi, araç çıkışının farklı yerden verilmesi.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3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Taşıt ve yaya girişinin genişletilmesi, araç çıkışının farklı yerden verilmesi.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Meslek Yüksekokulu /Rektörlük</w:t>
            </w: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941DC" w:rsidRPr="005941DC" w:rsidTr="005941DC">
        <w:tc>
          <w:tcPr>
            <w:tcW w:w="9404" w:type="dxa"/>
            <w:gridSpan w:val="3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rPr>
                <w:rFonts w:ascii="Times New Roman" w:eastAsia="Times New Roman" w:hAnsi="Times New Roman" w:cs="Times New Roman"/>
                <w:color w:val="FFFFFF" w:themeColor="background1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8"/>
                <w:szCs w:val="28"/>
                <w:lang w:eastAsia="tr-TR"/>
              </w:rPr>
              <w:t>STRATEJİK AMAÇ – V:</w:t>
            </w:r>
            <w:r w:rsidRPr="005941DC">
              <w:rPr>
                <w:rFonts w:ascii="Calibri Light" w:eastAsia="Times New Roman" w:hAnsi="Calibri Light" w:cs="Times New Roman"/>
                <w:color w:val="FFFFFF" w:themeColor="background1"/>
                <w:sz w:val="28"/>
                <w:szCs w:val="28"/>
                <w:lang w:eastAsia="tr-TR"/>
              </w:rPr>
              <w:t> </w:t>
            </w:r>
            <w:r w:rsidRPr="005941D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8"/>
                <w:szCs w:val="28"/>
                <w:lang w:eastAsia="tr-TR"/>
              </w:rPr>
              <w:t>Uluslararası Tanınırlığımızı Arttırmak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2E74B5"/>
                <w:sz w:val="24"/>
                <w:szCs w:val="24"/>
                <w:lang w:eastAsia="tr-TR"/>
              </w:rPr>
              <w:t>Stratejik Hedefler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3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2E74B5"/>
                <w:sz w:val="24"/>
                <w:szCs w:val="24"/>
                <w:lang w:eastAsia="tr-TR"/>
              </w:rPr>
              <w:t>Performans Göstergeleri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b/>
                <w:bCs/>
                <w:color w:val="2E74B5"/>
                <w:sz w:val="24"/>
                <w:szCs w:val="24"/>
                <w:lang w:eastAsia="tr-TR"/>
              </w:rPr>
              <w:t>Sorumlu Birim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-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1) Öğrencilere saygın üniversitelerle değişim imkânı sağlamak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3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Gelen ve giden öğrenci sayısı/Toplam öğrenci sayısı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Meslek Yüksekokulu /Rektörlük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-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2) Öğrenci kulüplerinin/kollarının faaliyetlerinin desteklenmesi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3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Düzenlenen etkinlik sayısı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</w:tr>
      <w:tr w:rsidR="005941DC" w:rsidRPr="005941DC" w:rsidTr="005941DC">
        <w:tc>
          <w:tcPr>
            <w:tcW w:w="35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-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3) Özel sektör kuruluşlarının beklentilerinin karşılanabilmesi ve mevcut imkânlar çerçevesinde daha çok sayıda ara elemanın yetiştirilmesi.</w:t>
            </w:r>
          </w:p>
        </w:tc>
        <w:tc>
          <w:tcPr>
            <w:tcW w:w="338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3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Ara Eleman olarak işe giren öğrenci sayısı/Mezun Öğrenci Sayısı</w:t>
            </w:r>
          </w:p>
        </w:tc>
        <w:tc>
          <w:tcPr>
            <w:tcW w:w="251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DC" w:rsidRPr="005941DC" w:rsidRDefault="005941DC" w:rsidP="005941DC">
            <w:pPr>
              <w:spacing w:after="0" w:line="330" w:lineRule="atLeas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941DC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</w:tr>
    </w:tbl>
    <w:p w:rsidR="005941DC" w:rsidRPr="005941DC" w:rsidRDefault="005941DC" w:rsidP="005941DC">
      <w:pPr>
        <w:shd w:val="clear" w:color="auto" w:fill="FFFFFF"/>
        <w:spacing w:after="0" w:line="330" w:lineRule="atLeast"/>
        <w:ind w:right="1287" w:firstLine="567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 w:rsidRPr="005941DC">
        <w:rPr>
          <w:rFonts w:ascii="Calibri Light" w:eastAsia="Times New Roman" w:hAnsi="Calibri Light" w:cs="Times New Roman"/>
          <w:color w:val="000000"/>
          <w:sz w:val="36"/>
          <w:szCs w:val="36"/>
          <w:lang w:eastAsia="tr-TR"/>
        </w:rPr>
        <w:t> </w:t>
      </w:r>
    </w:p>
    <w:p w:rsidR="006F647E" w:rsidRDefault="006F647E"/>
    <w:sectPr w:rsidR="006F6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GeometricSans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DC"/>
    <w:rsid w:val="00323DF6"/>
    <w:rsid w:val="005941DC"/>
    <w:rsid w:val="006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3F72B-206B-4886-9084-67162E62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Lenovo</cp:lastModifiedBy>
  <cp:revision>2</cp:revision>
  <dcterms:created xsi:type="dcterms:W3CDTF">2021-03-15T08:40:00Z</dcterms:created>
  <dcterms:modified xsi:type="dcterms:W3CDTF">2021-03-15T07:51:00Z</dcterms:modified>
</cp:coreProperties>
</file>